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65" w:rsidRPr="006D3065" w:rsidRDefault="006D3065" w:rsidP="006D3065">
      <w:pPr>
        <w:autoSpaceDE w:val="0"/>
        <w:autoSpaceDN w:val="0"/>
        <w:adjustRightInd w:val="0"/>
        <w:spacing w:line="360" w:lineRule="auto"/>
        <w:jc w:val="center"/>
        <w:rPr>
          <w:rFonts w:ascii="Arial" w:eastAsia="微软雅黑" w:hAnsi="Arial" w:cs="Arial" w:hint="eastAsia"/>
          <w:kern w:val="0"/>
          <w:sz w:val="32"/>
          <w:szCs w:val="32"/>
        </w:rPr>
      </w:pPr>
      <w:r w:rsidRPr="006D3065">
        <w:rPr>
          <w:rFonts w:ascii="Arial" w:eastAsia="微软雅黑" w:hAnsi="Arial" w:cs="Arial" w:hint="eastAsia"/>
          <w:kern w:val="0"/>
          <w:sz w:val="32"/>
          <w:szCs w:val="32"/>
        </w:rPr>
        <w:t>参数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1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．红外像素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&gt;=320x240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像素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2.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空间分辨率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&lt;1.36mrad(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标配镜头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，选配镜头空间分辨率最高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=25um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。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3.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测温范围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-20</w:t>
      </w:r>
      <w:r w:rsidRPr="000D6B67">
        <w:rPr>
          <w:rFonts w:ascii="宋体" w:eastAsia="宋体" w:hAnsi="宋体" w:cs="宋体" w:hint="eastAsia"/>
          <w:kern w:val="0"/>
          <w:sz w:val="19"/>
          <w:szCs w:val="19"/>
        </w:rPr>
        <w:t>℃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~350</w:t>
      </w:r>
      <w:r w:rsidRPr="000D6B67">
        <w:rPr>
          <w:rFonts w:ascii="宋体" w:eastAsia="宋体" w:hAnsi="宋体" w:cs="宋体" w:hint="eastAsia"/>
          <w:kern w:val="0"/>
          <w:sz w:val="19"/>
          <w:szCs w:val="19"/>
        </w:rPr>
        <w:t>℃，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可扩温至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2000</w:t>
      </w:r>
      <w:r w:rsidRPr="000D6B67">
        <w:rPr>
          <w:rFonts w:ascii="宋体" w:eastAsia="宋体" w:hAnsi="宋体" w:cs="宋体" w:hint="eastAsia"/>
          <w:kern w:val="0"/>
          <w:sz w:val="19"/>
          <w:szCs w:val="19"/>
        </w:rPr>
        <w:t>℃,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最低扩温至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 xml:space="preserve"> - 40</w:t>
      </w:r>
      <w:r w:rsidRPr="000D6B67">
        <w:rPr>
          <w:rFonts w:ascii="宋体" w:eastAsia="宋体" w:hAnsi="宋体" w:cs="宋体" w:hint="eastAsia"/>
          <w:kern w:val="0"/>
          <w:sz w:val="19"/>
          <w:szCs w:val="19"/>
        </w:rPr>
        <w:t>℃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，测温精度全量程可达±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2</w:t>
      </w:r>
      <w:r w:rsidRPr="000D6B67">
        <w:rPr>
          <w:rFonts w:ascii="宋体" w:eastAsia="宋体" w:hAnsi="宋体" w:cs="宋体" w:hint="eastAsia"/>
          <w:kern w:val="0"/>
          <w:sz w:val="19"/>
          <w:szCs w:val="19"/>
        </w:rPr>
        <w:t>℃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或读数的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2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%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4.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热灵敏度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&lt;50mk@30</w:t>
      </w:r>
      <w:r w:rsidRPr="000D6B67">
        <w:rPr>
          <w:rFonts w:ascii="宋体" w:eastAsia="宋体" w:hAnsi="宋体" w:cs="宋体" w:hint="eastAsia"/>
          <w:kern w:val="0"/>
          <w:sz w:val="19"/>
          <w:szCs w:val="19"/>
        </w:rPr>
        <w:t>℃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5.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手动调焦和自动调焦，标配镜头最小对焦距离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=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40cm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，选配镜头最小对焦距离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=20mm.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Arial" w:eastAsia="微软雅黑" w:hAnsi="Arial" w:cs="Arial"/>
          <w:kern w:val="0"/>
          <w:sz w:val="19"/>
          <w:szCs w:val="19"/>
        </w:rPr>
        <w:t>6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可根据实际需求选择原装进口红外镜头（标准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18mm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、长焦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(76mm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30mm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、广角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(10mm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4mm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、微距（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100um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50um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25um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））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Arial" w:eastAsia="微软雅黑" w:hAnsi="Arial" w:cs="Arial"/>
          <w:kern w:val="0"/>
          <w:sz w:val="19"/>
          <w:szCs w:val="19"/>
        </w:rPr>
        <w:t>7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探测器类型：非制冷型氧化钒红外探测器，接收波长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7.5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–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14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μ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红外信号，探测器间距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&lt;25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μ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m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8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 xml:space="preserve">. 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时间常数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&lt;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12ms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9.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标配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RJ-45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千兆以太网接口，兼容</w:t>
      </w:r>
      <w:proofErr w:type="spellStart"/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GigE</w:t>
      </w:r>
      <w:proofErr w:type="spellEnd"/>
      <w:r w:rsidRPr="000D6B67">
        <w:rPr>
          <w:rFonts w:ascii="Arial" w:eastAsia="微软雅黑" w:hAnsi="Arial" w:cs="Arial"/>
          <w:kern w:val="0"/>
          <w:sz w:val="19"/>
          <w:szCs w:val="19"/>
        </w:rPr>
        <w:t xml:space="preserve"> 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Vision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标准并支持</w:t>
      </w:r>
      <w:proofErr w:type="spellStart"/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GenlCAM</w:t>
      </w:r>
      <w:proofErr w:type="spellEnd"/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协议，设备远程控制最远距离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&gt;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=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100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米。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10.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兼容</w:t>
      </w:r>
      <w:proofErr w:type="spellStart"/>
      <w:r w:rsidRPr="000D6B67">
        <w:rPr>
          <w:rFonts w:ascii="Arial" w:eastAsia="微软雅黑" w:hAnsi="Arial" w:cs="Arial"/>
          <w:kern w:val="0"/>
          <w:sz w:val="19"/>
          <w:szCs w:val="19"/>
        </w:rPr>
        <w:t>R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esearchIR</w:t>
      </w:r>
      <w:proofErr w:type="spellEnd"/>
      <w:r w:rsidRPr="000D6B67">
        <w:rPr>
          <w:rFonts w:ascii="Arial" w:eastAsia="微软雅黑" w:hAnsi="Arial" w:cs="Arial"/>
          <w:kern w:val="0"/>
          <w:sz w:val="19"/>
          <w:szCs w:val="19"/>
        </w:rPr>
        <w:t xml:space="preserve"> M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ax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和</w:t>
      </w:r>
      <w:proofErr w:type="spellStart"/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Mathworks</w:t>
      </w:r>
      <w:proofErr w:type="spellEnd"/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控制和获取红外数据，并进行图像分析及处理，并可选装软件开发工具包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11.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工作温度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-15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°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C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~50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°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C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，存储温度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-40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°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C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 xml:space="preserve"> ~ 70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°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C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；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ind w:firstLineChars="250" w:firstLine="475"/>
        <w:jc w:val="left"/>
        <w:rPr>
          <w:rFonts w:ascii="Arial" w:eastAsia="微软雅黑" w:hAnsi="Arial" w:cs="Arial"/>
          <w:kern w:val="0"/>
          <w:sz w:val="19"/>
          <w:szCs w:val="19"/>
        </w:rPr>
      </w:pP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工作和储存湿度：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IEC 60068-2-30/24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小时，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ab/>
      </w:r>
      <w:r w:rsidRPr="000D6B67">
        <w:rPr>
          <w:rFonts w:ascii="Arial" w:eastAsia="微软雅黑" w:hAnsi="Arial" w:cs="Arial"/>
          <w:kern w:val="0"/>
          <w:sz w:val="19"/>
          <w:szCs w:val="19"/>
        </w:rPr>
        <w:t>95%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相对湿度，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+25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°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C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至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>+40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°</w:t>
      </w:r>
      <w:r w:rsidRPr="000D6B67">
        <w:rPr>
          <w:rFonts w:ascii="Arial" w:eastAsia="微软雅黑" w:hAnsi="Arial" w:cs="Arial"/>
          <w:kern w:val="0"/>
          <w:sz w:val="19"/>
          <w:szCs w:val="19"/>
        </w:rPr>
        <w:t xml:space="preserve">C/2 </w:t>
      </w: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>次循环；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ind w:firstLine="390"/>
        <w:jc w:val="left"/>
        <w:rPr>
          <w:rFonts w:ascii="Arial" w:eastAsia="微软雅黑" w:hAnsi="Arial" w:cs="Arial"/>
          <w:color w:val="000000"/>
          <w:kern w:val="0"/>
          <w:sz w:val="19"/>
          <w:szCs w:val="19"/>
        </w:rPr>
      </w:pPr>
      <w:r w:rsidRPr="000D6B67">
        <w:rPr>
          <w:rFonts w:ascii="Arial" w:eastAsia="微软雅黑" w:hAnsi="Arial" w:cs="Arial" w:hint="eastAsia"/>
          <w:kern w:val="0"/>
          <w:sz w:val="19"/>
          <w:szCs w:val="19"/>
        </w:rPr>
        <w:tab/>
        <w:t>EMC: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 xml:space="preserve"> ETSI EN 301 489-1(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无线电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ETSI EN 301 489-17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EN 61000-6-2(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抗干扰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ind w:firstLine="390"/>
        <w:jc w:val="left"/>
        <w:rPr>
          <w:rFonts w:ascii="Arial" w:eastAsia="微软雅黑" w:hAnsi="Arial" w:cs="Arial"/>
          <w:color w:val="000000"/>
          <w:kern w:val="0"/>
          <w:sz w:val="19"/>
          <w:szCs w:val="19"/>
        </w:rPr>
      </w:pP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 xml:space="preserve">      EN61000-6-3(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抗辐射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FCC 47 CFR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第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15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部分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B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类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(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抗辐射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)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ab/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ICES-003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；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ind w:firstLine="390"/>
        <w:jc w:val="left"/>
        <w:rPr>
          <w:rFonts w:ascii="Arial" w:eastAsia="微软雅黑" w:hAnsi="Arial" w:cs="Arial"/>
          <w:color w:val="000000"/>
          <w:kern w:val="0"/>
          <w:sz w:val="19"/>
          <w:szCs w:val="19"/>
        </w:rPr>
      </w:pP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ab/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抗无线电干扰：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ETSI EN 300 489328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FCC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第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15.247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部分，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RSS-210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；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color w:val="000000"/>
          <w:kern w:val="0"/>
          <w:sz w:val="19"/>
          <w:szCs w:val="19"/>
        </w:rPr>
      </w:pP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1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2.IP54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(IEC 60529)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封装，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25g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(IEC 60529)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抗撞击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,</w:t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 xml:space="preserve"> 2 g (IEC 60068-2-6)</w:t>
      </w:r>
      <w:r w:rsidRPr="000D6B67">
        <w:rPr>
          <w:rFonts w:ascii="Arial" w:eastAsia="微软雅黑" w:hAnsi="Times New Roman" w:cs="Arial" w:hint="eastAsia"/>
          <w:color w:val="000000"/>
          <w:kern w:val="0"/>
          <w:sz w:val="19"/>
          <w:szCs w:val="19"/>
        </w:rPr>
        <w:t>抗振性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，安全性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ab/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ab/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ab/>
      </w:r>
      <w:r w:rsidRPr="000D6B67">
        <w:rPr>
          <w:rFonts w:ascii="Arial" w:eastAsia="微软雅黑" w:hAnsi="Arial" w:cs="Arial"/>
          <w:color w:val="000000"/>
          <w:kern w:val="0"/>
          <w:sz w:val="19"/>
          <w:szCs w:val="19"/>
        </w:rPr>
        <w:t>EN/UL/CSA/PSE 60950-1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color w:val="000000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color w:val="000000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13.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保修：探测器保修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10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年，整机保修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2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年。</w:t>
      </w:r>
    </w:p>
    <w:p w:rsidR="000D6B67" w:rsidRPr="000D6B67" w:rsidRDefault="000D6B67" w:rsidP="000D6B67">
      <w:pPr>
        <w:autoSpaceDE w:val="0"/>
        <w:autoSpaceDN w:val="0"/>
        <w:adjustRightInd w:val="0"/>
        <w:spacing w:line="360" w:lineRule="auto"/>
        <w:jc w:val="left"/>
        <w:rPr>
          <w:rFonts w:ascii="Arial" w:eastAsia="微软雅黑" w:hAnsi="Arial" w:cs="Arial"/>
          <w:color w:val="000000"/>
          <w:kern w:val="0"/>
          <w:sz w:val="19"/>
          <w:szCs w:val="19"/>
        </w:rPr>
      </w:pPr>
      <w:r w:rsidRPr="000D6B67">
        <w:rPr>
          <w:rFonts w:ascii="微软雅黑" w:eastAsia="微软雅黑" w:hAnsi="微软雅黑" w:cs="Arial" w:hint="eastAsia"/>
          <w:color w:val="000000"/>
          <w:kern w:val="0"/>
          <w:sz w:val="19"/>
          <w:szCs w:val="19"/>
        </w:rPr>
        <w:t>▲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14.</w:t>
      </w:r>
      <w:r w:rsidRPr="000D6B67">
        <w:rPr>
          <w:rFonts w:ascii="Arial" w:eastAsia="微软雅黑" w:hAnsi="Arial" w:cs="Arial" w:hint="eastAsia"/>
          <w:color w:val="000000"/>
          <w:kern w:val="0"/>
          <w:sz w:val="19"/>
          <w:szCs w:val="19"/>
        </w:rPr>
        <w:t>产品交货可提供原厂授权书原件、售后服务保证函原件，原厂技术人员现场培训。</w:t>
      </w:r>
    </w:p>
    <w:p w:rsidR="00F51E14" w:rsidRPr="000D6B67" w:rsidRDefault="000D6B67" w:rsidP="000D6B67">
      <w:r w:rsidRPr="000D6B67">
        <w:rPr>
          <w:rFonts w:ascii="微软雅黑" w:eastAsia="微软雅黑" w:hAnsi="微软雅黑" w:cs="Times New Roman" w:hint="eastAsia"/>
          <w:kern w:val="0"/>
          <w:sz w:val="19"/>
          <w:szCs w:val="19"/>
        </w:rPr>
        <w:t>▲</w:t>
      </w:r>
      <w:r w:rsidRPr="000D6B67">
        <w:rPr>
          <w:rFonts w:ascii="Calibri" w:eastAsia="微软雅黑" w:hAnsi="Calibri" w:cs="Times New Roman" w:hint="eastAsia"/>
          <w:kern w:val="0"/>
          <w:sz w:val="19"/>
          <w:szCs w:val="19"/>
        </w:rPr>
        <w:t>15.</w:t>
      </w:r>
      <w:r w:rsidRPr="000D6B67">
        <w:rPr>
          <w:rFonts w:ascii="Calibri" w:eastAsia="微软雅黑" w:hAnsi="Calibri" w:cs="Times New Roman" w:hint="eastAsia"/>
          <w:kern w:val="0"/>
          <w:sz w:val="19"/>
          <w:szCs w:val="19"/>
        </w:rPr>
        <w:t>设备生产商可提供</w:t>
      </w:r>
      <w:r w:rsidRPr="000D6B67">
        <w:rPr>
          <w:rFonts w:ascii="Calibri" w:eastAsia="微软雅黑" w:hAnsi="Calibri" w:cs="Times New Roman" w:hint="eastAsia"/>
          <w:kern w:val="0"/>
          <w:sz w:val="19"/>
          <w:szCs w:val="19"/>
        </w:rPr>
        <w:t>BIDNT</w:t>
      </w:r>
      <w:r w:rsidRPr="000D6B67">
        <w:rPr>
          <w:rFonts w:ascii="Calibri" w:eastAsia="微软雅黑" w:hAnsi="Calibri" w:cs="Times New Roman" w:hint="eastAsia"/>
          <w:kern w:val="0"/>
          <w:sz w:val="19"/>
          <w:szCs w:val="19"/>
        </w:rPr>
        <w:t>认证的红外无损检测专业技能培训。</w:t>
      </w:r>
    </w:p>
    <w:sectPr w:rsidR="00F51E14" w:rsidRPr="000D6B67" w:rsidSect="006D306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55E" w:rsidRDefault="00AF655E" w:rsidP="00EE7DC1">
      <w:r>
        <w:separator/>
      </w:r>
    </w:p>
  </w:endnote>
  <w:endnote w:type="continuationSeparator" w:id="0">
    <w:p w:rsidR="00AF655E" w:rsidRDefault="00AF655E" w:rsidP="00EE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55E" w:rsidRDefault="00AF655E" w:rsidP="00EE7DC1">
      <w:r>
        <w:separator/>
      </w:r>
    </w:p>
  </w:footnote>
  <w:footnote w:type="continuationSeparator" w:id="0">
    <w:p w:rsidR="00AF655E" w:rsidRDefault="00AF655E" w:rsidP="00EE7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6178"/>
    <w:rsid w:val="00015BA1"/>
    <w:rsid w:val="000D6B67"/>
    <w:rsid w:val="002342A7"/>
    <w:rsid w:val="003F6178"/>
    <w:rsid w:val="00593FD8"/>
    <w:rsid w:val="006D3065"/>
    <w:rsid w:val="008F2224"/>
    <w:rsid w:val="00AF655E"/>
    <w:rsid w:val="00B5222E"/>
    <w:rsid w:val="00EE7DC1"/>
    <w:rsid w:val="00F5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D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峰</dc:creator>
  <cp:keywords/>
  <dc:description/>
  <cp:lastModifiedBy>netuser</cp:lastModifiedBy>
  <cp:revision>6</cp:revision>
  <cp:lastPrinted>2020-05-19T02:54:00Z</cp:lastPrinted>
  <dcterms:created xsi:type="dcterms:W3CDTF">2020-05-06T04:23:00Z</dcterms:created>
  <dcterms:modified xsi:type="dcterms:W3CDTF">2020-05-19T02:55:00Z</dcterms:modified>
</cp:coreProperties>
</file>